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7C1" w:rsidRPr="004307C1" w:rsidRDefault="004307C1" w:rsidP="004307C1">
      <w:pPr>
        <w:spacing w:before="280"/>
        <w:ind w:left="160"/>
        <w:rPr>
          <w:sz w:val="28"/>
          <w:szCs w:val="28"/>
        </w:rPr>
      </w:pPr>
      <w:bookmarkStart w:id="0" w:name="_GoBack"/>
      <w:r w:rsidRPr="004307C1">
        <w:rPr>
          <w:sz w:val="28"/>
          <w:szCs w:val="28"/>
        </w:rPr>
        <w:t>Лекция-11</w:t>
      </w:r>
    </w:p>
    <w:p w:rsidR="004307C1" w:rsidRPr="004307C1" w:rsidRDefault="004307C1" w:rsidP="004307C1">
      <w:pPr>
        <w:spacing w:before="280"/>
        <w:ind w:left="160"/>
        <w:jc w:val="center"/>
        <w:rPr>
          <w:sz w:val="28"/>
          <w:szCs w:val="28"/>
        </w:rPr>
      </w:pPr>
      <w:r w:rsidRPr="004307C1">
        <w:rPr>
          <w:sz w:val="28"/>
          <w:szCs w:val="28"/>
        </w:rPr>
        <w:t>ГРАФИЧЕСКИЙ СПОСОБ ОПРЕДЕЛЕНИЯ ОТКЛИКА НЭ НА ВХОДНОЕ ВОЗДЕЙСТВИЕ</w:t>
      </w:r>
    </w:p>
    <w:p w:rsidR="004307C1" w:rsidRPr="004307C1" w:rsidRDefault="004307C1" w:rsidP="004307C1">
      <w:pPr>
        <w:spacing w:before="300"/>
        <w:ind w:left="300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3C6553A4" wp14:editId="164689C8">
            <wp:extent cx="4037330" cy="1842770"/>
            <wp:effectExtent l="0" t="0" r="1270" b="508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330" cy="18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240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2B2070E9" wp14:editId="1698576A">
            <wp:extent cx="1828800" cy="548640"/>
            <wp:effectExtent l="0" t="0" r="0" b="381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180"/>
        <w:ind w:left="80" w:firstLine="700"/>
        <w:jc w:val="both"/>
        <w:rPr>
          <w:sz w:val="28"/>
          <w:szCs w:val="28"/>
        </w:rPr>
      </w:pPr>
      <w:r w:rsidRPr="004307C1">
        <w:rPr>
          <w:b w:val="0"/>
          <w:sz w:val="28"/>
          <w:szCs w:val="28"/>
        </w:rPr>
        <w:t>Графический способ определения отклика дает наглядное представление формы сигнала, но не дает возможности определить оптимальный режим работы нелинейного элемента.</w:t>
      </w:r>
    </w:p>
    <w:p w:rsidR="004307C1" w:rsidRPr="004307C1" w:rsidRDefault="004307C1" w:rsidP="004307C1">
      <w:pPr>
        <w:spacing w:before="340"/>
        <w:jc w:val="center"/>
        <w:rPr>
          <w:sz w:val="28"/>
          <w:szCs w:val="28"/>
        </w:rPr>
      </w:pPr>
    </w:p>
    <w:p w:rsidR="004307C1" w:rsidRPr="004307C1" w:rsidRDefault="004307C1" w:rsidP="004307C1">
      <w:pPr>
        <w:spacing w:before="340"/>
        <w:jc w:val="center"/>
        <w:rPr>
          <w:sz w:val="28"/>
          <w:szCs w:val="28"/>
        </w:rPr>
      </w:pPr>
    </w:p>
    <w:p w:rsidR="004307C1" w:rsidRPr="004307C1" w:rsidRDefault="004307C1" w:rsidP="004307C1">
      <w:pPr>
        <w:spacing w:before="340"/>
        <w:jc w:val="center"/>
        <w:rPr>
          <w:sz w:val="28"/>
          <w:szCs w:val="28"/>
        </w:rPr>
      </w:pPr>
      <w:r w:rsidRPr="004307C1">
        <w:rPr>
          <w:sz w:val="28"/>
          <w:szCs w:val="28"/>
        </w:rPr>
        <w:t xml:space="preserve">Лекция-12        </w:t>
      </w:r>
      <w:r w:rsidRPr="004307C1">
        <w:rPr>
          <w:sz w:val="28"/>
          <w:szCs w:val="28"/>
        </w:rPr>
        <w:tab/>
        <w:t>АППРОКСИМАЦИЯ ВАХ НЕЛИНЕЙНЫХ  ЭЛЕМЕНТОВ</w:t>
      </w:r>
    </w:p>
    <w:p w:rsidR="004307C1" w:rsidRPr="004307C1" w:rsidRDefault="004307C1" w:rsidP="004307C1">
      <w:pPr>
        <w:spacing w:before="260"/>
        <w:ind w:firstLine="840"/>
        <w:jc w:val="both"/>
        <w:rPr>
          <w:sz w:val="28"/>
          <w:szCs w:val="28"/>
        </w:rPr>
      </w:pPr>
      <w:r w:rsidRPr="004307C1">
        <w:rPr>
          <w:b w:val="0"/>
          <w:sz w:val="28"/>
          <w:szCs w:val="28"/>
        </w:rPr>
        <w:t xml:space="preserve">Замена реальных ВАХ НЭ, заданных в виде графиков или таблиц, приближенным аналитическим выражениям, называется </w:t>
      </w:r>
      <w:r w:rsidRPr="004307C1">
        <w:rPr>
          <w:b w:val="0"/>
          <w:sz w:val="28"/>
          <w:szCs w:val="28"/>
          <w:u w:val="single"/>
        </w:rPr>
        <w:t>аппроксимацией.</w:t>
      </w:r>
    </w:p>
    <w:p w:rsidR="004307C1" w:rsidRPr="004307C1" w:rsidRDefault="004307C1" w:rsidP="004307C1">
      <w:pPr>
        <w:spacing w:before="0"/>
        <w:ind w:left="800"/>
        <w:jc w:val="both"/>
        <w:rPr>
          <w:sz w:val="28"/>
          <w:szCs w:val="28"/>
        </w:rPr>
      </w:pPr>
      <w:r w:rsidRPr="004307C1">
        <w:rPr>
          <w:b w:val="0"/>
          <w:sz w:val="28"/>
          <w:szCs w:val="28"/>
        </w:rPr>
        <w:t>Требования, предъявляемые к аппроксимирующей функции:</w:t>
      </w:r>
    </w:p>
    <w:p w:rsidR="004307C1" w:rsidRPr="004307C1" w:rsidRDefault="004307C1" w:rsidP="004307C1">
      <w:pPr>
        <w:spacing w:before="0"/>
        <w:rPr>
          <w:sz w:val="28"/>
          <w:szCs w:val="28"/>
        </w:rPr>
      </w:pPr>
      <w:r w:rsidRPr="004307C1">
        <w:rPr>
          <w:b w:val="0"/>
          <w:sz w:val="28"/>
          <w:szCs w:val="28"/>
        </w:rPr>
        <w:t>1. Аппроксимирующая функция должна быть простой.</w:t>
      </w:r>
    </w:p>
    <w:p w:rsidR="004307C1" w:rsidRPr="004307C1" w:rsidRDefault="004307C1" w:rsidP="004307C1">
      <w:pPr>
        <w:spacing w:before="240"/>
        <w:ind w:left="40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6D5E3CE5" wp14:editId="535310A8">
            <wp:extent cx="2236470" cy="506730"/>
            <wp:effectExtent l="0" t="0" r="0" b="762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470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07C1">
        <w:rPr>
          <w:sz w:val="28"/>
          <w:szCs w:val="28"/>
        </w:rPr>
        <w:tab/>
      </w:r>
      <w:r w:rsidRPr="004307C1">
        <w:rPr>
          <w:sz w:val="28"/>
          <w:szCs w:val="28"/>
        </w:rPr>
        <w:tab/>
      </w:r>
      <w:r w:rsidRPr="004307C1">
        <w:rPr>
          <w:noProof/>
          <w:sz w:val="28"/>
          <w:szCs w:val="28"/>
        </w:rPr>
        <w:drawing>
          <wp:inline distT="0" distB="0" distL="0" distR="0" wp14:anchorId="34B2D36D" wp14:editId="4B65C0A2">
            <wp:extent cx="1350645" cy="337820"/>
            <wp:effectExtent l="0" t="0" r="1905" b="508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645" cy="33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140"/>
        <w:ind w:left="160"/>
        <w:jc w:val="both"/>
        <w:rPr>
          <w:sz w:val="28"/>
          <w:szCs w:val="28"/>
        </w:rPr>
      </w:pPr>
      <w:r w:rsidRPr="004307C1">
        <w:rPr>
          <w:b w:val="0"/>
          <w:sz w:val="28"/>
          <w:szCs w:val="28"/>
        </w:rPr>
        <w:t>2. Аппроксимирующая функция должна быть такой, чтобы в результате анализа можно было выделить нужные спектральные компоненты тока.</w:t>
      </w:r>
    </w:p>
    <w:p w:rsidR="004307C1" w:rsidRPr="004307C1" w:rsidRDefault="004307C1" w:rsidP="004307C1">
      <w:pPr>
        <w:spacing w:before="280"/>
        <w:ind w:left="80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199BDDFF" wp14:editId="0BA03CA2">
            <wp:extent cx="2292985" cy="47815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985" cy="47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220"/>
        <w:ind w:left="160"/>
        <w:jc w:val="both"/>
        <w:rPr>
          <w:sz w:val="28"/>
          <w:szCs w:val="28"/>
        </w:rPr>
      </w:pPr>
      <w:r w:rsidRPr="004307C1">
        <w:rPr>
          <w:b w:val="0"/>
          <w:sz w:val="28"/>
          <w:szCs w:val="28"/>
        </w:rPr>
        <w:t xml:space="preserve">3. Точность аппроксимирующей функции, т.е. насколько точно совпадают </w:t>
      </w:r>
      <w:r w:rsidRPr="004307C1">
        <w:rPr>
          <w:b w:val="0"/>
          <w:sz w:val="28"/>
          <w:szCs w:val="28"/>
        </w:rPr>
        <w:lastRenderedPageBreak/>
        <w:t xml:space="preserve">значения </w:t>
      </w:r>
      <w:proofErr w:type="spellStart"/>
      <w:r w:rsidRPr="004307C1">
        <w:rPr>
          <w:i/>
          <w:sz w:val="28"/>
          <w:szCs w:val="28"/>
          <w:lang w:val="en-US"/>
        </w:rPr>
        <w:t>i</w:t>
      </w:r>
      <w:proofErr w:type="spellEnd"/>
      <w:r w:rsidRPr="004307C1">
        <w:rPr>
          <w:b w:val="0"/>
          <w:sz w:val="28"/>
          <w:szCs w:val="28"/>
        </w:rPr>
        <w:t xml:space="preserve"> и </w:t>
      </w:r>
      <w:r w:rsidRPr="004307C1">
        <w:rPr>
          <w:i/>
          <w:sz w:val="28"/>
          <w:szCs w:val="28"/>
        </w:rPr>
        <w:t>и</w:t>
      </w:r>
      <w:r w:rsidRPr="004307C1">
        <w:rPr>
          <w:b w:val="0"/>
          <w:sz w:val="28"/>
          <w:szCs w:val="28"/>
        </w:rPr>
        <w:t xml:space="preserve"> реальной ВАХ и аппроксимированной.</w:t>
      </w:r>
    </w:p>
    <w:p w:rsidR="004307C1" w:rsidRPr="004307C1" w:rsidRDefault="004307C1" w:rsidP="004307C1">
      <w:pPr>
        <w:spacing w:before="340"/>
        <w:ind w:left="80"/>
        <w:jc w:val="center"/>
        <w:rPr>
          <w:sz w:val="28"/>
          <w:szCs w:val="28"/>
        </w:rPr>
      </w:pPr>
      <w:r w:rsidRPr="004307C1">
        <w:rPr>
          <w:b w:val="0"/>
          <w:sz w:val="28"/>
          <w:szCs w:val="28"/>
        </w:rPr>
        <w:t>Наиболее часто в качестве аппроксимирующей функции применяют:</w:t>
      </w:r>
    </w:p>
    <w:p w:rsidR="004307C1" w:rsidRPr="004307C1" w:rsidRDefault="004307C1" w:rsidP="004307C1">
      <w:pPr>
        <w:spacing w:before="60"/>
        <w:ind w:left="480"/>
        <w:jc w:val="both"/>
        <w:rPr>
          <w:sz w:val="28"/>
          <w:szCs w:val="28"/>
        </w:rPr>
      </w:pPr>
      <w:r w:rsidRPr="004307C1">
        <w:rPr>
          <w:b w:val="0"/>
          <w:sz w:val="28"/>
          <w:szCs w:val="28"/>
        </w:rPr>
        <w:t xml:space="preserve">1. полином </w:t>
      </w:r>
      <w:r w:rsidRPr="004307C1">
        <w:rPr>
          <w:i/>
          <w:sz w:val="28"/>
          <w:szCs w:val="28"/>
        </w:rPr>
        <w:t>п</w:t>
      </w:r>
      <w:r w:rsidRPr="004307C1">
        <w:rPr>
          <w:b w:val="0"/>
          <w:sz w:val="28"/>
          <w:szCs w:val="28"/>
        </w:rPr>
        <w:t xml:space="preserve"> </w:t>
      </w:r>
      <w:r w:rsidRPr="004307C1">
        <w:rPr>
          <w:b w:val="0"/>
          <w:sz w:val="28"/>
          <w:szCs w:val="28"/>
          <w:vertAlign w:val="superscript"/>
        </w:rPr>
        <w:t>ой</w:t>
      </w:r>
      <w:r w:rsidRPr="004307C1">
        <w:rPr>
          <w:b w:val="0"/>
          <w:sz w:val="28"/>
          <w:szCs w:val="28"/>
        </w:rPr>
        <w:t xml:space="preserve"> степени:</w:t>
      </w:r>
    </w:p>
    <w:p w:rsidR="004307C1" w:rsidRPr="004307C1" w:rsidRDefault="004307C1" w:rsidP="004307C1">
      <w:pPr>
        <w:ind w:left="120"/>
        <w:jc w:val="both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1D42C0C9" wp14:editId="24EA9FC2">
            <wp:extent cx="2166620" cy="253365"/>
            <wp:effectExtent l="0" t="0" r="508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6620" cy="25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0"/>
        <w:ind w:left="440"/>
        <w:jc w:val="both"/>
        <w:rPr>
          <w:sz w:val="28"/>
          <w:szCs w:val="28"/>
        </w:rPr>
      </w:pPr>
      <w:r w:rsidRPr="004307C1">
        <w:rPr>
          <w:b w:val="0"/>
          <w:sz w:val="28"/>
          <w:szCs w:val="28"/>
        </w:rPr>
        <w:t>2. полином 2</w:t>
      </w:r>
      <w:r w:rsidRPr="004307C1">
        <w:rPr>
          <w:b w:val="0"/>
          <w:sz w:val="28"/>
          <w:szCs w:val="28"/>
          <w:vertAlign w:val="superscript"/>
        </w:rPr>
        <w:t>ой</w:t>
      </w:r>
      <w:r w:rsidRPr="004307C1">
        <w:rPr>
          <w:b w:val="0"/>
          <w:sz w:val="28"/>
          <w:szCs w:val="28"/>
        </w:rPr>
        <w:t xml:space="preserve"> степени:</w:t>
      </w:r>
    </w:p>
    <w:p w:rsidR="004307C1" w:rsidRPr="004307C1" w:rsidRDefault="004307C1" w:rsidP="004307C1">
      <w:pPr>
        <w:ind w:left="40"/>
        <w:jc w:val="both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57FFACEB" wp14:editId="06998C3D">
            <wp:extent cx="1350645" cy="210820"/>
            <wp:effectExtent l="0" t="0" r="190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645" cy="21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40"/>
        <w:ind w:left="800"/>
        <w:jc w:val="both"/>
        <w:rPr>
          <w:sz w:val="28"/>
          <w:szCs w:val="28"/>
        </w:rPr>
      </w:pPr>
      <w:r w:rsidRPr="004307C1">
        <w:rPr>
          <w:b w:val="0"/>
          <w:sz w:val="28"/>
          <w:szCs w:val="28"/>
        </w:rPr>
        <w:t>3. укороченный полином 3</w:t>
      </w:r>
      <w:r w:rsidRPr="004307C1">
        <w:rPr>
          <w:b w:val="0"/>
          <w:sz w:val="28"/>
          <w:szCs w:val="28"/>
          <w:vertAlign w:val="superscript"/>
        </w:rPr>
        <w:t>ей</w:t>
      </w:r>
      <w:r w:rsidRPr="004307C1">
        <w:rPr>
          <w:b w:val="0"/>
          <w:sz w:val="28"/>
          <w:szCs w:val="28"/>
        </w:rPr>
        <w:t xml:space="preserve"> степени.</w:t>
      </w:r>
    </w:p>
    <w:p w:rsidR="004307C1" w:rsidRPr="004307C1" w:rsidRDefault="004307C1" w:rsidP="004307C1">
      <w:pPr>
        <w:spacing w:before="0"/>
        <w:ind w:left="120"/>
        <w:jc w:val="both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4BA5C3F8" wp14:editId="315BE9B2">
            <wp:extent cx="1026795" cy="224790"/>
            <wp:effectExtent l="0" t="0" r="1905" b="38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795" cy="2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ind w:left="800"/>
        <w:jc w:val="both"/>
        <w:rPr>
          <w:sz w:val="28"/>
          <w:szCs w:val="28"/>
        </w:rPr>
      </w:pPr>
      <w:r w:rsidRPr="004307C1">
        <w:rPr>
          <w:b w:val="0"/>
          <w:sz w:val="28"/>
          <w:szCs w:val="28"/>
        </w:rPr>
        <w:t>4. Укороченный полином 5</w:t>
      </w:r>
      <w:r w:rsidRPr="004307C1">
        <w:rPr>
          <w:b w:val="0"/>
          <w:sz w:val="28"/>
          <w:szCs w:val="28"/>
          <w:vertAlign w:val="superscript"/>
        </w:rPr>
        <w:t>ой</w:t>
      </w:r>
      <w:r w:rsidRPr="004307C1">
        <w:rPr>
          <w:b w:val="0"/>
          <w:sz w:val="28"/>
          <w:szCs w:val="28"/>
        </w:rPr>
        <w:t xml:space="preserve"> степени.</w:t>
      </w:r>
    </w:p>
    <w:p w:rsidR="004307C1" w:rsidRPr="004307C1" w:rsidRDefault="004307C1" w:rsidP="004307C1">
      <w:pPr>
        <w:spacing w:before="0"/>
        <w:ind w:left="100"/>
        <w:jc w:val="both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2E211B05" wp14:editId="471661FD">
            <wp:extent cx="1435100" cy="281305"/>
            <wp:effectExtent l="0" t="0" r="0" b="444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28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220"/>
        <w:ind w:right="-8" w:firstLine="720"/>
        <w:jc w:val="both"/>
        <w:rPr>
          <w:bCs w:val="0"/>
          <w:sz w:val="28"/>
          <w:szCs w:val="28"/>
        </w:rPr>
      </w:pPr>
      <w:r w:rsidRPr="004307C1">
        <w:rPr>
          <w:b w:val="0"/>
          <w:bCs w:val="0"/>
          <w:sz w:val="28"/>
          <w:szCs w:val="28"/>
        </w:rPr>
        <w:t xml:space="preserve">Существует аппроксимация экспонентой </w:t>
      </w:r>
      <w:proofErr w:type="spellStart"/>
      <w:r w:rsidRPr="004307C1">
        <w:rPr>
          <w:bCs w:val="0"/>
          <w:i/>
          <w:sz w:val="28"/>
          <w:szCs w:val="28"/>
          <w:lang w:val="en-US"/>
        </w:rPr>
        <w:t>i</w:t>
      </w:r>
      <w:proofErr w:type="spellEnd"/>
      <w:r w:rsidRPr="004307C1">
        <w:rPr>
          <w:bCs w:val="0"/>
          <w:i/>
          <w:sz w:val="28"/>
          <w:szCs w:val="28"/>
        </w:rPr>
        <w:t xml:space="preserve"> = </w:t>
      </w:r>
      <w:r w:rsidRPr="004307C1">
        <w:rPr>
          <w:bCs w:val="0"/>
          <w:i/>
          <w:sz w:val="28"/>
          <w:szCs w:val="28"/>
          <w:lang w:val="en-US"/>
        </w:rPr>
        <w:t>A</w:t>
      </w:r>
      <w:r w:rsidRPr="004307C1">
        <w:rPr>
          <w:bCs w:val="0"/>
          <w:i/>
          <w:sz w:val="28"/>
          <w:szCs w:val="28"/>
        </w:rPr>
        <w:t>∙</w:t>
      </w:r>
      <w:proofErr w:type="spellStart"/>
      <w:r w:rsidRPr="004307C1">
        <w:rPr>
          <w:bCs w:val="0"/>
          <w:i/>
          <w:sz w:val="28"/>
          <w:szCs w:val="28"/>
          <w:lang w:val="en-US"/>
        </w:rPr>
        <w:t>exp</w:t>
      </w:r>
      <w:r w:rsidRPr="004307C1">
        <w:rPr>
          <w:bCs w:val="0"/>
          <w:i/>
          <w:sz w:val="28"/>
          <w:szCs w:val="28"/>
          <w:vertAlign w:val="superscript"/>
          <w:lang w:val="en-US"/>
        </w:rPr>
        <w:t>au</w:t>
      </w:r>
      <w:proofErr w:type="spellEnd"/>
      <w:r w:rsidRPr="004307C1">
        <w:rPr>
          <w:b w:val="0"/>
          <w:bCs w:val="0"/>
          <w:sz w:val="28"/>
          <w:szCs w:val="28"/>
        </w:rPr>
        <w:t xml:space="preserve">. Аппроксимация суммой экспонент: </w:t>
      </w:r>
      <w:proofErr w:type="spellStart"/>
      <w:r w:rsidRPr="004307C1">
        <w:rPr>
          <w:bCs w:val="0"/>
          <w:i/>
          <w:sz w:val="28"/>
          <w:szCs w:val="28"/>
          <w:lang w:val="en-US"/>
        </w:rPr>
        <w:t>i</w:t>
      </w:r>
      <w:proofErr w:type="spellEnd"/>
      <w:r w:rsidRPr="004307C1">
        <w:rPr>
          <w:bCs w:val="0"/>
          <w:i/>
          <w:sz w:val="28"/>
          <w:szCs w:val="28"/>
        </w:rPr>
        <w:t xml:space="preserve"> = </w:t>
      </w:r>
      <w:r w:rsidRPr="004307C1">
        <w:rPr>
          <w:bCs w:val="0"/>
          <w:i/>
          <w:sz w:val="28"/>
          <w:szCs w:val="28"/>
          <w:lang w:val="en-US"/>
        </w:rPr>
        <w:t>A</w:t>
      </w:r>
      <w:r w:rsidRPr="004307C1">
        <w:rPr>
          <w:bCs w:val="0"/>
          <w:i/>
          <w:sz w:val="28"/>
          <w:szCs w:val="28"/>
        </w:rPr>
        <w:t>∙</w:t>
      </w:r>
      <w:proofErr w:type="spellStart"/>
      <w:r w:rsidRPr="004307C1">
        <w:rPr>
          <w:bCs w:val="0"/>
          <w:i/>
          <w:sz w:val="28"/>
          <w:szCs w:val="28"/>
          <w:lang w:val="en-US"/>
        </w:rPr>
        <w:t>exp</w:t>
      </w:r>
      <w:r w:rsidRPr="004307C1">
        <w:rPr>
          <w:bCs w:val="0"/>
          <w:i/>
          <w:sz w:val="28"/>
          <w:szCs w:val="28"/>
          <w:vertAlign w:val="superscript"/>
          <w:lang w:val="en-US"/>
        </w:rPr>
        <w:t>au</w:t>
      </w:r>
      <w:proofErr w:type="spellEnd"/>
      <w:r w:rsidRPr="004307C1">
        <w:rPr>
          <w:bCs w:val="0"/>
          <w:i/>
          <w:sz w:val="28"/>
          <w:szCs w:val="28"/>
        </w:rPr>
        <w:t xml:space="preserve">+ </w:t>
      </w:r>
      <w:r w:rsidRPr="004307C1">
        <w:rPr>
          <w:bCs w:val="0"/>
          <w:i/>
          <w:sz w:val="28"/>
          <w:szCs w:val="28"/>
          <w:lang w:val="en-US"/>
        </w:rPr>
        <w:t>B</w:t>
      </w:r>
      <w:r w:rsidRPr="004307C1">
        <w:rPr>
          <w:bCs w:val="0"/>
          <w:i/>
          <w:sz w:val="28"/>
          <w:szCs w:val="28"/>
        </w:rPr>
        <w:t xml:space="preserve"> </w:t>
      </w:r>
      <w:proofErr w:type="spellStart"/>
      <w:r w:rsidRPr="004307C1">
        <w:rPr>
          <w:bCs w:val="0"/>
          <w:i/>
          <w:sz w:val="28"/>
          <w:szCs w:val="28"/>
          <w:lang w:val="en-US"/>
        </w:rPr>
        <w:t>exp</w:t>
      </w:r>
      <w:r w:rsidRPr="004307C1">
        <w:rPr>
          <w:bCs w:val="0"/>
          <w:i/>
          <w:sz w:val="28"/>
          <w:szCs w:val="28"/>
          <w:vertAlign w:val="superscript"/>
          <w:lang w:val="en-US"/>
        </w:rPr>
        <w:t>Bu</w:t>
      </w:r>
      <w:proofErr w:type="spellEnd"/>
      <w:r w:rsidRPr="004307C1">
        <w:rPr>
          <w:bCs w:val="0"/>
          <w:i/>
          <w:sz w:val="28"/>
          <w:szCs w:val="28"/>
        </w:rPr>
        <w:t>+ …</w:t>
      </w:r>
    </w:p>
    <w:p w:rsidR="004307C1" w:rsidRPr="004307C1" w:rsidRDefault="004307C1" w:rsidP="004307C1">
      <w:pPr>
        <w:jc w:val="both"/>
        <w:rPr>
          <w:b w:val="0"/>
          <w:bCs w:val="0"/>
          <w:sz w:val="28"/>
          <w:szCs w:val="28"/>
        </w:rPr>
      </w:pPr>
      <w:r w:rsidRPr="004307C1">
        <w:rPr>
          <w:b w:val="0"/>
          <w:bCs w:val="0"/>
          <w:sz w:val="28"/>
          <w:szCs w:val="28"/>
        </w:rPr>
        <w:t>5. Линейно-ломанная аппроксимация (аппроксимация отрезками прямой), если существуют большие уровни входного сигнала.</w:t>
      </w:r>
    </w:p>
    <w:p w:rsidR="004307C1" w:rsidRPr="004307C1" w:rsidRDefault="004307C1" w:rsidP="004307C1">
      <w:pPr>
        <w:jc w:val="both"/>
        <w:rPr>
          <w:b w:val="0"/>
          <w:bCs w:val="0"/>
          <w:sz w:val="28"/>
          <w:szCs w:val="28"/>
        </w:rPr>
      </w:pPr>
      <w:r w:rsidRPr="004307C1">
        <w:rPr>
          <w:b w:val="0"/>
          <w:bCs w:val="0"/>
          <w:sz w:val="28"/>
          <w:szCs w:val="28"/>
        </w:rPr>
        <w:t>6. Гиперболический тангенс.</w:t>
      </w:r>
    </w:p>
    <w:p w:rsidR="004307C1" w:rsidRPr="004307C1" w:rsidRDefault="004307C1" w:rsidP="004307C1">
      <w:pPr>
        <w:framePr w:w="2860" w:h="1580" w:hRule="exact" w:hSpace="80" w:vSpace="40" w:wrap="auto" w:vAnchor="text" w:hAnchor="text" w:x="3821" w:y="121" w:anchorLock="1"/>
        <w:spacing w:before="0"/>
        <w:rPr>
          <w:b w:val="0"/>
          <w:sz w:val="28"/>
          <w:szCs w:val="28"/>
        </w:rPr>
      </w:pPr>
      <w:r w:rsidRPr="004307C1">
        <w:rPr>
          <w:b w:val="0"/>
          <w:noProof/>
          <w:sz w:val="28"/>
          <w:szCs w:val="28"/>
        </w:rPr>
        <w:drawing>
          <wp:inline distT="0" distB="0" distL="0" distR="0" wp14:anchorId="40B9F237" wp14:editId="388DF083">
            <wp:extent cx="1814830" cy="101282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830" cy="101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80"/>
        <w:jc w:val="right"/>
        <w:rPr>
          <w:sz w:val="28"/>
          <w:szCs w:val="28"/>
        </w:rPr>
      </w:pPr>
    </w:p>
    <w:p w:rsidR="004307C1" w:rsidRPr="004307C1" w:rsidRDefault="004307C1" w:rsidP="004307C1">
      <w:pPr>
        <w:spacing w:before="0"/>
        <w:ind w:left="20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3850A4D6" wp14:editId="08D07804">
            <wp:extent cx="2110105" cy="998855"/>
            <wp:effectExtent l="0" t="0" r="444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105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440"/>
        <w:ind w:firstLine="80"/>
        <w:jc w:val="center"/>
        <w:rPr>
          <w:b w:val="0"/>
          <w:sz w:val="28"/>
          <w:szCs w:val="28"/>
        </w:rPr>
      </w:pPr>
      <w:r w:rsidRPr="004307C1">
        <w:rPr>
          <w:i/>
          <w:sz w:val="28"/>
          <w:szCs w:val="28"/>
          <w:lang w:val="en-US"/>
        </w:rPr>
        <w:t>I</w:t>
      </w:r>
      <w:r w:rsidRPr="004307C1">
        <w:rPr>
          <w:i/>
          <w:sz w:val="28"/>
          <w:szCs w:val="28"/>
          <w:vertAlign w:val="subscript"/>
          <w:lang w:val="en-US"/>
        </w:rPr>
        <w:t>s</w:t>
      </w:r>
      <w:r w:rsidRPr="004307C1">
        <w:rPr>
          <w:b w:val="0"/>
          <w:sz w:val="28"/>
          <w:szCs w:val="28"/>
        </w:rPr>
        <w:t xml:space="preserve"> </w:t>
      </w:r>
      <w:proofErr w:type="gramStart"/>
      <w:r w:rsidRPr="004307C1">
        <w:rPr>
          <w:b w:val="0"/>
          <w:sz w:val="28"/>
          <w:szCs w:val="28"/>
        </w:rPr>
        <w:t>-  ток</w:t>
      </w:r>
      <w:proofErr w:type="gramEnd"/>
      <w:r w:rsidRPr="004307C1">
        <w:rPr>
          <w:b w:val="0"/>
          <w:sz w:val="28"/>
          <w:szCs w:val="28"/>
        </w:rPr>
        <w:t xml:space="preserve"> насыщения; </w:t>
      </w:r>
      <w:r w:rsidRPr="004307C1">
        <w:rPr>
          <w:i/>
          <w:sz w:val="28"/>
          <w:szCs w:val="28"/>
          <w:lang w:val="en-US"/>
        </w:rPr>
        <w:t>I</w:t>
      </w:r>
      <w:r w:rsidRPr="004307C1">
        <w:rPr>
          <w:i/>
          <w:sz w:val="28"/>
          <w:szCs w:val="28"/>
          <w:vertAlign w:val="subscript"/>
        </w:rPr>
        <w:t>0</w:t>
      </w:r>
      <w:r w:rsidRPr="004307C1">
        <w:rPr>
          <w:i/>
          <w:sz w:val="28"/>
          <w:szCs w:val="28"/>
        </w:rPr>
        <w:t xml:space="preserve"> - </w:t>
      </w:r>
      <w:r w:rsidRPr="004307C1">
        <w:rPr>
          <w:b w:val="0"/>
          <w:sz w:val="28"/>
          <w:szCs w:val="28"/>
        </w:rPr>
        <w:t xml:space="preserve"> ток покоя</w:t>
      </w:r>
    </w:p>
    <w:p w:rsidR="004307C1" w:rsidRPr="004307C1" w:rsidRDefault="004307C1" w:rsidP="004307C1">
      <w:pPr>
        <w:spacing w:before="440"/>
        <w:ind w:left="80"/>
        <w:jc w:val="both"/>
        <w:rPr>
          <w:sz w:val="28"/>
          <w:szCs w:val="28"/>
        </w:rPr>
      </w:pPr>
      <w:r w:rsidRPr="004307C1">
        <w:rPr>
          <w:b w:val="0"/>
          <w:sz w:val="28"/>
          <w:szCs w:val="28"/>
        </w:rPr>
        <w:t>7. Аппроксимация функцией Крылова.</w:t>
      </w:r>
    </w:p>
    <w:p w:rsidR="004307C1" w:rsidRPr="004307C1" w:rsidRDefault="004307C1" w:rsidP="004307C1">
      <w:pPr>
        <w:spacing w:before="280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4098F5DD" wp14:editId="471CF2E8">
            <wp:extent cx="1167765" cy="393700"/>
            <wp:effectExtent l="0" t="0" r="0" b="635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65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0"/>
        <w:ind w:left="200"/>
        <w:jc w:val="center"/>
        <w:rPr>
          <w:b w:val="0"/>
          <w:sz w:val="28"/>
          <w:szCs w:val="28"/>
        </w:rPr>
      </w:pPr>
    </w:p>
    <w:p w:rsidR="004307C1" w:rsidRPr="004307C1" w:rsidRDefault="004307C1" w:rsidP="004307C1">
      <w:pPr>
        <w:spacing w:before="0"/>
        <w:ind w:left="200"/>
        <w:jc w:val="center"/>
        <w:rPr>
          <w:b w:val="0"/>
          <w:sz w:val="28"/>
          <w:szCs w:val="28"/>
        </w:rPr>
      </w:pPr>
    </w:p>
    <w:p w:rsidR="004307C1" w:rsidRPr="004307C1" w:rsidRDefault="004307C1" w:rsidP="004307C1">
      <w:pPr>
        <w:spacing w:before="0"/>
        <w:jc w:val="center"/>
        <w:rPr>
          <w:sz w:val="28"/>
          <w:szCs w:val="28"/>
        </w:rPr>
      </w:pPr>
      <w:r w:rsidRPr="004307C1">
        <w:rPr>
          <w:b w:val="0"/>
          <w:sz w:val="28"/>
          <w:szCs w:val="28"/>
        </w:rPr>
        <w:t xml:space="preserve">АППРОКСИМАЦИЯ ПОЛИНОМОМ </w:t>
      </w:r>
      <w:r w:rsidRPr="004307C1">
        <w:rPr>
          <w:i/>
          <w:sz w:val="28"/>
          <w:szCs w:val="28"/>
          <w:lang w:val="en-US"/>
        </w:rPr>
        <w:t>n</w:t>
      </w:r>
      <w:r w:rsidRPr="004307C1">
        <w:rPr>
          <w:b w:val="0"/>
          <w:sz w:val="28"/>
          <w:szCs w:val="28"/>
          <w:vertAlign w:val="superscript"/>
        </w:rPr>
        <w:t>ой</w:t>
      </w:r>
      <w:r w:rsidRPr="004307C1">
        <w:rPr>
          <w:b w:val="0"/>
          <w:sz w:val="28"/>
          <w:szCs w:val="28"/>
        </w:rPr>
        <w:t xml:space="preserve"> СТЕПЕНИ И ОПРЕДЕЛЕНИЕ КОЭФФИЦИЕНТОВ АППРОКСИМАЦИИ</w:t>
      </w:r>
    </w:p>
    <w:p w:rsidR="004307C1" w:rsidRPr="004307C1" w:rsidRDefault="004307C1" w:rsidP="004307C1">
      <w:pPr>
        <w:spacing w:before="520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3C9F7D08" wp14:editId="4D8C7213">
            <wp:extent cx="2292985" cy="29527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98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0"/>
        <w:ind w:left="1080"/>
        <w:rPr>
          <w:sz w:val="28"/>
          <w:szCs w:val="28"/>
        </w:rPr>
      </w:pPr>
      <w:r w:rsidRPr="004307C1">
        <w:rPr>
          <w:noProof/>
          <w:sz w:val="28"/>
          <w:szCs w:val="28"/>
        </w:rPr>
        <w:lastRenderedPageBreak/>
        <w:drawing>
          <wp:inline distT="0" distB="0" distL="0" distR="0" wp14:anchorId="20011866" wp14:editId="6511BE32">
            <wp:extent cx="2898140" cy="175831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140" cy="175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240"/>
        <w:jc w:val="center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74BA6664" wp14:editId="2DF70F8D">
            <wp:extent cx="3826510" cy="1477010"/>
            <wp:effectExtent l="0" t="0" r="2540" b="889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51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180"/>
        <w:jc w:val="center"/>
        <w:rPr>
          <w:b w:val="0"/>
          <w:sz w:val="28"/>
          <w:szCs w:val="28"/>
        </w:rPr>
      </w:pPr>
      <w:r w:rsidRPr="004307C1">
        <w:rPr>
          <w:b w:val="0"/>
          <w:sz w:val="28"/>
          <w:szCs w:val="28"/>
        </w:rPr>
        <w:t>АППРОКСИМАЦИЯ ЭКСПОНЕНТОЙ И ОПРЕДЕЛЕНИЕ КОЭФФИЦИЕНТОВ АППРОКСИМАЦИИ</w:t>
      </w:r>
    </w:p>
    <w:p w:rsidR="004307C1" w:rsidRPr="004307C1" w:rsidRDefault="004307C1" w:rsidP="004307C1">
      <w:pPr>
        <w:framePr w:w="1800" w:h="1640" w:hRule="exact" w:hSpace="80" w:vSpace="40" w:wrap="auto" w:vAnchor="text" w:hAnchor="text" w:x="4281" w:y="481" w:anchorLock="1"/>
        <w:spacing w:before="0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7A1C6C8F" wp14:editId="2F7DB012">
            <wp:extent cx="1153795" cy="1055370"/>
            <wp:effectExtent l="0" t="0" r="825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795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580"/>
        <w:rPr>
          <w:b w:val="0"/>
          <w:sz w:val="28"/>
          <w:szCs w:val="28"/>
        </w:rPr>
      </w:pPr>
      <w:r w:rsidRPr="004307C1">
        <w:rPr>
          <w:b w:val="0"/>
          <w:sz w:val="28"/>
          <w:szCs w:val="28"/>
        </w:rPr>
        <w:t>Задана ВАХ вакуумного диода</w:t>
      </w:r>
    </w:p>
    <w:p w:rsidR="004307C1" w:rsidRPr="004307C1" w:rsidRDefault="004307C1" w:rsidP="004307C1">
      <w:pPr>
        <w:spacing w:before="0"/>
        <w:ind w:left="260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03D881C7" wp14:editId="23F75D9A">
            <wp:extent cx="1772285" cy="928370"/>
            <wp:effectExtent l="0" t="0" r="0" b="508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285" cy="92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480"/>
        <w:ind w:left="840"/>
        <w:jc w:val="center"/>
        <w:rPr>
          <w:b w:val="0"/>
          <w:sz w:val="28"/>
          <w:szCs w:val="28"/>
        </w:rPr>
      </w:pPr>
    </w:p>
    <w:p w:rsidR="004307C1" w:rsidRPr="004307C1" w:rsidRDefault="004307C1" w:rsidP="004307C1">
      <w:pPr>
        <w:spacing w:before="480"/>
        <w:ind w:left="840"/>
        <w:jc w:val="center"/>
        <w:rPr>
          <w:b w:val="0"/>
          <w:sz w:val="28"/>
          <w:szCs w:val="28"/>
        </w:rPr>
      </w:pPr>
    </w:p>
    <w:p w:rsidR="004307C1" w:rsidRPr="004307C1" w:rsidRDefault="004307C1" w:rsidP="004307C1">
      <w:pPr>
        <w:spacing w:before="480"/>
        <w:ind w:left="840"/>
        <w:jc w:val="center"/>
        <w:rPr>
          <w:sz w:val="28"/>
          <w:szCs w:val="28"/>
        </w:rPr>
      </w:pPr>
      <w:r w:rsidRPr="004307C1">
        <w:rPr>
          <w:b w:val="0"/>
          <w:sz w:val="28"/>
          <w:szCs w:val="28"/>
        </w:rPr>
        <w:t>АППРОКСИМАЦИЯ ЛОМАНОЙ ЛИНИИ И ОПРЕДЕЛЕНИЕ КОЭФФИЦИЕНТОВ АППРОКСИМАЦИИ</w:t>
      </w:r>
    </w:p>
    <w:p w:rsidR="004307C1" w:rsidRPr="004307C1" w:rsidRDefault="004307C1" w:rsidP="004307C1">
      <w:pPr>
        <w:spacing w:before="280"/>
        <w:ind w:left="2000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63CE9A29" wp14:editId="07FD0019">
            <wp:extent cx="2503805" cy="1308100"/>
            <wp:effectExtent l="0" t="0" r="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805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260"/>
        <w:rPr>
          <w:sz w:val="28"/>
          <w:szCs w:val="28"/>
        </w:rPr>
      </w:pPr>
      <w:r w:rsidRPr="004307C1">
        <w:rPr>
          <w:noProof/>
          <w:sz w:val="28"/>
          <w:szCs w:val="28"/>
        </w:rPr>
        <w:drawing>
          <wp:inline distT="0" distB="0" distL="0" distR="0" wp14:anchorId="0FF97376" wp14:editId="6FCF2811">
            <wp:extent cx="2025650" cy="30924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0"/>
        <w:rPr>
          <w:sz w:val="28"/>
          <w:szCs w:val="28"/>
        </w:rPr>
      </w:pPr>
      <w:r w:rsidRPr="004307C1">
        <w:rPr>
          <w:noProof/>
          <w:sz w:val="28"/>
          <w:szCs w:val="28"/>
        </w:rPr>
        <w:lastRenderedPageBreak/>
        <w:drawing>
          <wp:inline distT="0" distB="0" distL="0" distR="0" wp14:anchorId="794108D6" wp14:editId="4EFCF2E7">
            <wp:extent cx="2672715" cy="492125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715" cy="49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7C1" w:rsidRPr="004307C1" w:rsidRDefault="004307C1" w:rsidP="004307C1">
      <w:pPr>
        <w:spacing w:before="200"/>
        <w:ind w:right="-8" w:firstLine="720"/>
        <w:jc w:val="both"/>
        <w:rPr>
          <w:b w:val="0"/>
          <w:sz w:val="28"/>
          <w:szCs w:val="28"/>
        </w:rPr>
      </w:pPr>
      <w:r w:rsidRPr="004307C1">
        <w:rPr>
          <w:b w:val="0"/>
          <w:sz w:val="28"/>
          <w:szCs w:val="28"/>
        </w:rPr>
        <w:t>Линейная ломаная аппроксимация применяется при больших  уровнях входного сигнала.</w:t>
      </w:r>
    </w:p>
    <w:bookmarkEnd w:id="0"/>
    <w:p w:rsidR="00DC467E" w:rsidRPr="004307C1" w:rsidRDefault="00DC467E" w:rsidP="004307C1">
      <w:pPr>
        <w:rPr>
          <w:sz w:val="28"/>
          <w:szCs w:val="28"/>
        </w:rPr>
      </w:pPr>
    </w:p>
    <w:sectPr w:rsidR="00DC467E" w:rsidRPr="00430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0AA"/>
    <w:rsid w:val="001D1A82"/>
    <w:rsid w:val="004307C1"/>
    <w:rsid w:val="007520AA"/>
    <w:rsid w:val="00DC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A82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1A82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A82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A82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1A82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A82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2019-09-29T09:25:00Z</dcterms:created>
  <dcterms:modified xsi:type="dcterms:W3CDTF">2019-09-29T09:56:00Z</dcterms:modified>
</cp:coreProperties>
</file>